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F72AD" w14:textId="77777777" w:rsidR="00B112B9" w:rsidRPr="00B112B9" w:rsidRDefault="00B112B9" w:rsidP="00B112B9">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B112B9">
        <w:rPr>
          <w:rFonts w:ascii="Lato" w:eastAsia="Times New Roman" w:hAnsi="Lato" w:cs="Times New Roman"/>
          <w:color w:val="CC3300"/>
          <w:kern w:val="36"/>
          <w:sz w:val="36"/>
          <w:szCs w:val="36"/>
          <w:lang w:eastAsia="fr-BE"/>
          <w14:ligatures w14:val="none"/>
        </w:rPr>
        <w:t>Des gains limités par des facteurs contraignants</w:t>
      </w:r>
    </w:p>
    <w:p w14:paraId="137F7978" w14:textId="77777777" w:rsidR="00B112B9" w:rsidRDefault="00B112B9" w:rsidP="00B112B9">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248C578C" w14:textId="16068741" w:rsidR="00B112B9" w:rsidRPr="00B112B9" w:rsidRDefault="00B112B9" w:rsidP="00B112B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B112B9">
        <w:rPr>
          <w:rFonts w:ascii="Lato" w:eastAsia="Times New Roman" w:hAnsi="Lato" w:cs="Times New Roman"/>
          <w:color w:val="000000"/>
          <w:kern w:val="0"/>
          <w:sz w:val="23"/>
          <w:szCs w:val="23"/>
          <w:lang w:eastAsia="fr-BE"/>
          <w14:ligatures w14:val="none"/>
        </w:rPr>
        <w:t>Les cours du </w:t>
      </w:r>
      <w:r w:rsidRPr="00B112B9">
        <w:rPr>
          <w:rFonts w:ascii="Lato" w:eastAsia="Times New Roman" w:hAnsi="Lato" w:cs="Times New Roman"/>
          <w:color w:val="000000"/>
          <w:kern w:val="0"/>
          <w:sz w:val="23"/>
          <w:szCs w:val="23"/>
          <w:u w:val="single"/>
          <w:lang w:eastAsia="fr-BE"/>
          <w14:ligatures w14:val="none"/>
        </w:rPr>
        <w:t>cuivre</w:t>
      </w:r>
      <w:r w:rsidRPr="00B112B9">
        <w:rPr>
          <w:rFonts w:ascii="Lato" w:eastAsia="Times New Roman" w:hAnsi="Lato" w:cs="Times New Roman"/>
          <w:color w:val="000000"/>
          <w:kern w:val="0"/>
          <w:sz w:val="23"/>
          <w:szCs w:val="23"/>
          <w:lang w:eastAsia="fr-BE"/>
          <w14:ligatures w14:val="none"/>
        </w:rPr>
        <w:t> sont orientés à la hausse, dynamisés par un regain de demande de la part du premier consommateur mondial, la Chine. La hausse des inventaires et la vigueur du dollar limitent cependant les gains du métal rouge.</w:t>
      </w:r>
    </w:p>
    <w:p w14:paraId="37075FBD" w14:textId="77777777" w:rsidR="00B112B9" w:rsidRPr="00B112B9" w:rsidRDefault="00B112B9" w:rsidP="00B112B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B112B9">
        <w:rPr>
          <w:rFonts w:ascii="Lato" w:eastAsia="Times New Roman" w:hAnsi="Lato" w:cs="Times New Roman"/>
          <w:color w:val="000000"/>
          <w:kern w:val="0"/>
          <w:sz w:val="23"/>
          <w:szCs w:val="23"/>
          <w:lang w:eastAsia="fr-BE"/>
          <w14:ligatures w14:val="none"/>
        </w:rPr>
        <w:t>Sur le LME, le </w:t>
      </w:r>
      <w:r w:rsidRPr="00B112B9">
        <w:rPr>
          <w:rFonts w:ascii="Lato" w:eastAsia="Times New Roman" w:hAnsi="Lato" w:cs="Times New Roman"/>
          <w:color w:val="000000"/>
          <w:kern w:val="0"/>
          <w:sz w:val="23"/>
          <w:szCs w:val="23"/>
          <w:u w:val="single"/>
          <w:lang w:eastAsia="fr-BE"/>
          <w14:ligatures w14:val="none"/>
        </w:rPr>
        <w:t>cuivre</w:t>
      </w:r>
      <w:r w:rsidRPr="00B112B9">
        <w:rPr>
          <w:rFonts w:ascii="Lato" w:eastAsia="Times New Roman" w:hAnsi="Lato" w:cs="Times New Roman"/>
          <w:color w:val="000000"/>
          <w:kern w:val="0"/>
          <w:sz w:val="23"/>
          <w:szCs w:val="23"/>
          <w:lang w:eastAsia="fr-BE"/>
          <w14:ligatures w14:val="none"/>
        </w:rPr>
        <w:t> pour livraison à trois mois gagne 0,6 % à 7.993 $/t après deux semaines consécutives de déclin, pour une baisse totale de 3,9 %.</w:t>
      </w:r>
    </w:p>
    <w:p w14:paraId="30F0B33F" w14:textId="77777777" w:rsidR="00B112B9" w:rsidRPr="00B112B9" w:rsidRDefault="00B112B9" w:rsidP="00B112B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B112B9">
        <w:rPr>
          <w:rFonts w:ascii="Lato" w:eastAsia="Times New Roman" w:hAnsi="Lato" w:cs="Times New Roman"/>
          <w:color w:val="000000"/>
          <w:kern w:val="0"/>
          <w:sz w:val="23"/>
          <w:szCs w:val="23"/>
          <w:lang w:eastAsia="fr-BE"/>
          <w14:ligatures w14:val="none"/>
        </w:rPr>
        <w:t>La demande en </w:t>
      </w:r>
      <w:r w:rsidRPr="00B112B9">
        <w:rPr>
          <w:rFonts w:ascii="Lato" w:eastAsia="Times New Roman" w:hAnsi="Lato" w:cs="Times New Roman"/>
          <w:color w:val="000000"/>
          <w:kern w:val="0"/>
          <w:sz w:val="23"/>
          <w:szCs w:val="23"/>
          <w:u w:val="single"/>
          <w:lang w:eastAsia="fr-BE"/>
          <w14:ligatures w14:val="none"/>
        </w:rPr>
        <w:t>cuivre</w:t>
      </w:r>
      <w:r w:rsidRPr="00B112B9">
        <w:rPr>
          <w:rFonts w:ascii="Lato" w:eastAsia="Times New Roman" w:hAnsi="Lato" w:cs="Times New Roman"/>
          <w:color w:val="000000"/>
          <w:kern w:val="0"/>
          <w:sz w:val="23"/>
          <w:szCs w:val="23"/>
          <w:lang w:eastAsia="fr-BE"/>
          <w14:ligatures w14:val="none"/>
        </w:rPr>
        <w:t> est soutenue par une vague d’investissement dans l’infrastructure chapeautée par le gouvernement. Le secteur des énergies renouvelables est particulièrement favorisé.</w:t>
      </w:r>
    </w:p>
    <w:p w14:paraId="1D194CB5" w14:textId="77777777" w:rsidR="00B112B9" w:rsidRPr="00B112B9" w:rsidRDefault="00B112B9" w:rsidP="00B112B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B112B9">
        <w:rPr>
          <w:rFonts w:ascii="Lato" w:eastAsia="Times New Roman" w:hAnsi="Lato" w:cs="Times New Roman"/>
          <w:color w:val="000000"/>
          <w:kern w:val="0"/>
          <w:sz w:val="23"/>
          <w:szCs w:val="23"/>
          <w:lang w:eastAsia="fr-BE"/>
          <w14:ligatures w14:val="none"/>
        </w:rPr>
        <w:t>Des données commerciales parues vendredi dernier indiquent que la baisse des importations et des exportations est en voie de résorption. Au mois de septembre, les importations de </w:t>
      </w:r>
      <w:r w:rsidRPr="00B112B9">
        <w:rPr>
          <w:rFonts w:ascii="Lato" w:eastAsia="Times New Roman" w:hAnsi="Lato" w:cs="Times New Roman"/>
          <w:color w:val="000000"/>
          <w:kern w:val="0"/>
          <w:sz w:val="23"/>
          <w:szCs w:val="23"/>
          <w:u w:val="single"/>
          <w:lang w:eastAsia="fr-BE"/>
          <w14:ligatures w14:val="none"/>
        </w:rPr>
        <w:t>cuivre</w:t>
      </w:r>
      <w:r w:rsidRPr="00B112B9">
        <w:rPr>
          <w:rFonts w:ascii="Lato" w:eastAsia="Times New Roman" w:hAnsi="Lato" w:cs="Times New Roman"/>
          <w:color w:val="000000"/>
          <w:kern w:val="0"/>
          <w:sz w:val="23"/>
          <w:szCs w:val="23"/>
          <w:lang w:eastAsia="fr-BE"/>
          <w14:ligatures w14:val="none"/>
        </w:rPr>
        <w:t> ont touché un pic intra-annuel. Les volumes restent néanmoins plus faibles que ceux de l’année dernière.</w:t>
      </w:r>
    </w:p>
    <w:p w14:paraId="6EA086E8" w14:textId="77777777" w:rsidR="00B112B9" w:rsidRPr="00B112B9" w:rsidRDefault="00B112B9" w:rsidP="00B112B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B112B9">
        <w:rPr>
          <w:rFonts w:ascii="Lato" w:eastAsia="Times New Roman" w:hAnsi="Lato" w:cs="Times New Roman"/>
          <w:color w:val="000000"/>
          <w:kern w:val="0"/>
          <w:sz w:val="23"/>
          <w:szCs w:val="23"/>
          <w:lang w:eastAsia="fr-BE"/>
          <w14:ligatures w14:val="none"/>
        </w:rPr>
        <w:t xml:space="preserve">Sur le </w:t>
      </w:r>
      <w:proofErr w:type="spellStart"/>
      <w:r w:rsidRPr="00B112B9">
        <w:rPr>
          <w:rFonts w:ascii="Lato" w:eastAsia="Times New Roman" w:hAnsi="Lato" w:cs="Times New Roman"/>
          <w:color w:val="000000"/>
          <w:kern w:val="0"/>
          <w:sz w:val="23"/>
          <w:szCs w:val="23"/>
          <w:lang w:eastAsia="fr-BE"/>
          <w14:ligatures w14:val="none"/>
        </w:rPr>
        <w:t>ShFE</w:t>
      </w:r>
      <w:proofErr w:type="spellEnd"/>
      <w:r w:rsidRPr="00B112B9">
        <w:rPr>
          <w:rFonts w:ascii="Lato" w:eastAsia="Times New Roman" w:hAnsi="Lato" w:cs="Times New Roman"/>
          <w:color w:val="000000"/>
          <w:kern w:val="0"/>
          <w:sz w:val="23"/>
          <w:szCs w:val="23"/>
          <w:lang w:eastAsia="fr-BE"/>
          <w14:ligatures w14:val="none"/>
        </w:rPr>
        <w:t>, le contrat le plus échangé (échéance novembre) avance de 0,1 % à 66.460 yuan/t (9,093.15$).</w:t>
      </w:r>
    </w:p>
    <w:p w14:paraId="1F64533E" w14:textId="77777777" w:rsidR="00B112B9" w:rsidRPr="00B112B9" w:rsidRDefault="00B112B9" w:rsidP="00B112B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B112B9">
        <w:rPr>
          <w:rFonts w:ascii="Lato" w:eastAsia="Times New Roman" w:hAnsi="Lato" w:cs="Times New Roman"/>
          <w:color w:val="000000"/>
          <w:kern w:val="0"/>
          <w:sz w:val="23"/>
          <w:szCs w:val="23"/>
          <w:lang w:eastAsia="fr-BE"/>
          <w14:ligatures w14:val="none"/>
        </w:rPr>
        <w:t xml:space="preserve">Dans les entrepôts agréés par le LME le du </w:t>
      </w:r>
      <w:proofErr w:type="spellStart"/>
      <w:r w:rsidRPr="00B112B9">
        <w:rPr>
          <w:rFonts w:ascii="Lato" w:eastAsia="Times New Roman" w:hAnsi="Lato" w:cs="Times New Roman"/>
          <w:color w:val="000000"/>
          <w:kern w:val="0"/>
          <w:sz w:val="23"/>
          <w:szCs w:val="23"/>
          <w:lang w:eastAsia="fr-BE"/>
          <w14:ligatures w14:val="none"/>
        </w:rPr>
        <w:t>ShFE</w:t>
      </w:r>
      <w:proofErr w:type="spellEnd"/>
      <w:r w:rsidRPr="00B112B9">
        <w:rPr>
          <w:rFonts w:ascii="Lato" w:eastAsia="Times New Roman" w:hAnsi="Lato" w:cs="Times New Roman"/>
          <w:color w:val="000000"/>
          <w:kern w:val="0"/>
          <w:sz w:val="23"/>
          <w:szCs w:val="23"/>
          <w:lang w:eastAsia="fr-BE"/>
          <w14:ligatures w14:val="none"/>
        </w:rPr>
        <w:t xml:space="preserve">, des augmentations ont été enregistrées la semaine dernière ; un vent contraire souffle donc sur le métal utilisé dans les secteurs de l’énergie, du bâtiment et des transports. La vigueur du dollar pèse également sur le marché. Un discours du président de la Fed, </w:t>
      </w:r>
      <w:proofErr w:type="spellStart"/>
      <w:r w:rsidRPr="00B112B9">
        <w:rPr>
          <w:rFonts w:ascii="Lato" w:eastAsia="Times New Roman" w:hAnsi="Lato" w:cs="Times New Roman"/>
          <w:color w:val="000000"/>
          <w:kern w:val="0"/>
          <w:sz w:val="23"/>
          <w:szCs w:val="23"/>
          <w:lang w:eastAsia="fr-BE"/>
          <w14:ligatures w14:val="none"/>
        </w:rPr>
        <w:t>Jerome</w:t>
      </w:r>
      <w:proofErr w:type="spellEnd"/>
      <w:r w:rsidRPr="00B112B9">
        <w:rPr>
          <w:rFonts w:ascii="Lato" w:eastAsia="Times New Roman" w:hAnsi="Lato" w:cs="Times New Roman"/>
          <w:color w:val="000000"/>
          <w:kern w:val="0"/>
          <w:sz w:val="23"/>
          <w:szCs w:val="23"/>
          <w:lang w:eastAsia="fr-BE"/>
          <w14:ligatures w14:val="none"/>
        </w:rPr>
        <w:t xml:space="preserve"> Powell, est attendu dans la semaine.</w:t>
      </w:r>
    </w:p>
    <w:p w14:paraId="74A5F73A"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B9"/>
    <w:rsid w:val="00287462"/>
    <w:rsid w:val="00B112B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244BB"/>
  <w15:chartTrackingRefBased/>
  <w15:docId w15:val="{5AAF8E38-3FA0-453B-9B5B-FFE66791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1162</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2023-10-16T08:07:00Z</dcterms:created>
  <dcterms:modified xsi:type="dcterms:W3CDTF">2023-10-16T08:07:00Z</dcterms:modified>
</cp:coreProperties>
</file>